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2008/69 vom 6. Januar 2009</w:t>
      </w:r>
    </w:p>
    <w:p>
      <w:r>
        <w:t>Sg Versicherungsgericht, 2009-01-06, DE</w:t>
      </w:r>
    </w:p>
    <w:p>
      <w:r>
        <w:rPr>
          <w:b/>
        </w:rPr>
        <w:t xml:space="preserve">Quelle: </w:t>
      </w:r>
      <w:r>
        <w:t>https://mcp.opencaselaw.ch/entscheid/sg_publikationen_UV 2008_69</w:t>
      </w:r>
    </w:p>
    <w:p>
      <w:r>
        <w:t>FR: SG_VERSICHERUNGSGERICHT UV 2008/69 du 6 janvier 2009</w:t>
      </w:r>
    </w:p>
    <w:p>
      <w:r>
        <w:t>IT: SG_VERSICHERUNGSGERICHT UV 2008/69 del 6 gennaio 2009</w:t>
      </w:r>
    </w:p>
    <w:p>
      <w:pPr>
        <w:pStyle w:val="Heading2"/>
      </w:pPr>
      <w:r>
        <w:t>Regeste</w:t>
      </w:r>
    </w:p>
    <w:p>
      <w:r>
        <w:t>Art. 36 Abs. 3 UVV, Ziff. 1 Abs. 2 der Richtlinien im Anhang 3 zur UVV. Auf Grund unterschiedlicher Resultate verschiedener Visusmessungen sowie weiterer offener Fragen rechtfertigt sich eine Rückweisung an die Vorinstanz zur zusätzlichen Abklärung (Entscheid des Versicherungsgerichts des Kantons St. Gallen vom 6. Januar 2009, UV 2008/69).</w:t>
      </w:r>
    </w:p>
    <w:p>
      <w:pPr>
        <w:pStyle w:val="Heading2"/>
      </w:pPr>
      <w:r>
        <w:t>Erwägungen</w:t>
      </w:r>
    </w:p>
    <w:p>
      <w:r>
        <w:rPr>
          <w:b/>
        </w:rPr>
        <w:t>E. 1</w:t>
      </w:r>
    </w:p>
    <w:p>
      <w:r>
        <w:t>1.1    Erleidet eine versicherte Person durch einen Unfall eine dauernde erhebliche Beeinträchtigung der körperlichen oder geistigen Integrität, so hat sie Anspruch auf eine angemessene Entschädigung (Art. 24 Abs. 1 des Bundesgesetzes über die Unfallversicherung [UVG; SR 832.20]). Als dauernd gilt ein Integritätsschaden, wenn er voraussichtlich während des ganzen Lebens mindestens in gleichem Umfang bestehen wird, und als erheblich, wenn die körperliche oder geistige Integrität unabhängig von der Erwerbsfähigkeit augenfällig oder stark beeinträchtigt ist (Art. 36 der Verordnung über die Unfallversicherung [UVV; SR 832.202]; vgl. RKUV 1998 Nr. U 303 S. 354). 1.2    Die Entschädigung ist nach der Schwere des Integritätsschadens abzustufen (Art. 25 Abs. 1 UVG). Für ihre Bemessung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oder der Ärztin, grundsätzlich jeden Integritätsschaden annähernd vergleichbaren Integritätsschäden in dieser Skala zuzuordnen. Trotzdem hat sich in der Praxis ein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Für die Schätzung des Integritätsschadens nach einer Augenverletzung kann auf die Tabelle 11 (Revision 1998) zur Integritätsentschädigung gemäss UVG verwiesen werden. Gemäss Ziff. 2 dieser Tabelle gilt als untere Grenze für die Beurteilung der Erheblichkeit ein Restvisus von 0.7. Höhere Werte berechtigen grundsätzlich nicht zu einer Integritätsentschädigung. 1.3    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351 E. 3a S. 352 mit Hinweis; BGE 122 V 157 E. 3c S. 160 f. mit Hinweisen; RKUV 2000 Nr. KV 124 S. 214 f.).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351 E. 3b/ee S. 353 f. mit Hinweis).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f. E. 1a).</w:t>
      </w:r>
    </w:p>
    <w:p>
      <w:r>
        <w:rPr>
          <w:b/>
        </w:rPr>
        <w:t>E. 2</w:t>
      </w:r>
    </w:p>
    <w:p>
      <w:r>
        <w:t>2.1    Die Beschwerdegegnerin stützt sich bei der Beurteilung des Integritätsschadens auf den Bericht der Augenklinik des Kantonsspitals St. Gallen vom 8. Februar 2008. Dieser geht beim rechten Auge von einem maximalen Fernvisus von 0.8 aus. Davon abweichend stellte Dr. B.___ Visuswerte von 0.5 - 0.6 fest. Dr. D.___ geht in seinen Beurteilungen vom 6. März 2008 und 26. August 2008 grundsätzlich vom Untersuchungsergebnis der Augenklinik aus, weicht davon jedoch insofern ab, als er den Wert von 0.8 als minimal und nicht als maximal gegeben betrachtet. Gemäss seinen Erläuterungen vom 26. August 2008 (Ziff. 2), welche in medizinischer Hinsicht zu den Argumenten in der Beschwerde Stellung nehmen, könne der Visus des Beschwerdeführers auch besser sein als 0.8, also 1.0, 1.2 oder sogar 1.5. Dr. D.___ begründet diese Annahme dadurch, dass einerseits absolut normale Augenbefunde vorhanden seien, welche ein normales Sehen ermöglichten, und andererseits Hinweise dafür bestehen würden, dass der Beschwerdeführer aggraviere. Als Beweis für diese Aggravation diene der Nachweis eines spiralförmigen Gesichtsfeldes aus der Untersuchung der Augenklinik vom 27. November 2007. Eine solche Diagnose ist jedoch nicht nachvollziehbar. Im Bericht der Augenklinik vom 8. Februar 2008 werden die Befunde der Gesichtsfelduntersuchungen unter den Titeln "Octopus-Gesichtsfelduntersuchung vom 13.11.2007" und "Goldmann-Gesichtsfelduntersuchung spiralförmig vom 27.11.2007" zusammengefasst. Auf Grund der Darstellung und aus dem Gesamtverständnis des Augenklinik-Berichts geht hervor, dass es sich bei beiden Untersuchungen und somit insbesondere auch bei der "Goldmann-Gesichtsfelduntersuchung spiralförmig" um Methoden zur Feststellung des Gesichtsfeldes handelt. Ein spiralförmiges Gesichtsfeld als Untersuchungsresultat ist demgegenüber nicht vorstellbar. Dass ein solches Ergebnis zudem den Nachweis für eine Aggravation liefern soll, lässt sich weder dem Bericht der Augenklinik noch den übrigen medizinischen Akten noch allgemein zugänglicher Fachliteratur entnehmen. Infolge dieser schwerwiegenden Ungereimtheiten können die Erläuterungen von Dr. D.___ keine Beurteilungsgrundlage bilden. 2.2    Obgleich der Bericht der Augenklinik auf eine mögliche Aggravation hinweist, führt er nicht aus, wie diese festgestellt oder wieso sie vermutet wurde. Abgesehen von den nicht überzeugenden Erläuterungen von Dr. D.___ finden sich auch in den übrigen ärztlichen Berichten keine Erklärungen dazu. Damit steht die Möglichkeit einer Aggravation zwar im Raum, dies allein ist aber nicht ausreichend, um darauf abzustellen. 2.3    Die Frage, ob es sich beim Visuswert von 0.8 um einen minimalen oder maximalen Wert handelt, ist letztlich für die Zusprache einer Integritätsentschädigung nicht von massgeblicher Bedeutung, da der Visuswert die nach Tabelle 11 (Revision 1998) zur Integritätsentschädigung gemäss UVG erforderliche Höhe für eine Integritätsentschädigung ohnehin nicht erfüllt. Entscheidend ist vielmehr die Analyse der Differenz zwischen dem Visuswert der Augenklinik und jenem von Dr. B.___. Dr. D.___ hält fest, dass der tiefere Wert von Dr. B.___ morphologisch nicht erklärbar sei. Ausführend nimmt er in seiner Begründung vom 26. August 2008 (Ziff. 4) wiederum Bezug auf die Aggravation. Da der Nachweis einer solchen jedoch nicht erbracht ist, überzeugt letztlich auch seine Aussage betreffend den Visuswert von Dr. B.___ nicht. 2.4    Hinsichtlich der Divergenz zwischen den unterschiedlichen Visuswerten der Augenklinik und von Dr. B.___ besteht damit nach wie vor Erklärungsbedarf. Ebenfalls zu begründen bleibt, weshalb die Augenklinik zur Visusmessung die Vernebelungsmethode angewendet und welche Bedeutung die Anwendung dieser Methode hat. Der Bericht der Augenklinik enthält dazu keine Ausführungen. Da die unterschiedlichen Visuswerte zudem in einer engen Bandbreite um den anspruchsbegründenden Restvisusgrenzwert von 0.7 liegen, drängen sich zusätzliche Abklärungen auf. Der Einspracheentscheid vom 26. Mai 2008 ist somit aufzuheben. Die Vorinstanz wird verpflichtet, den Sachverhalt durch einen bisher nicht beteiligten Augenspezialisten abklären zu lassen, bevor sie erneut zu entscheiden hat.</w:t>
      </w:r>
    </w:p>
    <w:p>
      <w:r>
        <w:rPr>
          <w:b/>
        </w:rPr>
        <w:t>E. 3</w:t>
      </w:r>
    </w:p>
    <w:p>
      <w:r>
        <w:t>Festzuhalten ist schliesslich, dass entgegen der Argumentation des Beschwerdeführers einem ärztlichen Gutachten nicht allein deshalb kein Beweiswert zukommt, weil es dem Patienten unmöglich war, die diagnostizierten Befunde den verschiedenen behandelnden Ärzten und Untersuchungen zuzuordnen. Ein Spital bzw. eine Abteilung davon zeichnet sich gerade dadurch aus, dass zahlreiche Spezialisten voneinander unterschiedliche Aufgaben wahrnehmen. Dadurch können sie dem Patienten gemeinsam ein breiteres Fachwissen gewährleisten, als es dem Einzelnen alleine möglich wäre. Einzig die fehlende Zuordnungsmöglichkeit von Untersuchungen durch verschiedene Ärzte einerseits und an unterschiedlichen medizinischen Geräten andererseits würde somit die Beweiskraft des Berichts der Augenklinik nicht von vorneherein schmälern. Da vorliegend jedoch aus anderen Gründen nicht allein auf den Bericht der Augenklinik des Kantonsspitals abgestellt werden kann, erübrigen sich weitere Ausführungen zu dessen Beweiswert.</w:t>
      </w:r>
    </w:p>
    <w:p>
      <w:r>
        <w:rPr>
          <w:b/>
        </w:rPr>
        <w:t>E. 4</w:t>
      </w:r>
    </w:p>
    <w:p>
      <w:r>
        <w:t>Zusammenfassend ist festzustellen, dass auf Grund der Widersprüche zwischen den vorliegenden ärztlichen Berichten keine abschliessende Beurteilung möglich ist und die Beschwerdegegnerin weitere Abklärungen vorzunehmen hat.</w:t>
      </w:r>
    </w:p>
    <w:p>
      <w:r>
        <w:rPr>
          <w:b/>
        </w:rPr>
        <w:t>E. 5</w:t>
      </w:r>
    </w:p>
    <w:p>
      <w:r>
        <w:t>Auf Grund der vorstehenden Erwägungen ist die Beschwerde unter Aufhebung des angefochtenen Einspracheentscheids vom 26. Mai 2008 in dem Sinn gutzuheissen, dass die Angelegenheit zur weiteren Abklärung und neuer Verfügung an die Beschwerdegegnerin zurückzuweisen ist. Gerichtskosten sind keine zu erheben (Art. 61 lit. a ATSG). Hingegen hat der Beschwerdeführer bei diesem Verfahrensausgang Anspruch auf eine Parteientschädigung (Art. 61 lit. g ATSG). Angesichts der Schwierigkeit des Falles sowie der Art und des Umfangs der Bemühungen erscheint eine Parteientschädigung, wie in vergleichbaren Fällen üblich, von Fr. 3'000.-- einschliesslich Barauslagen und Mehrwertsteuer angemessen. Demgemäss hat das Versicherungsgericht im Zirkulationsverfahren gemäss Art. 53 GerG entschieden: 1.        Die Beschwerde wird in dem Sinn gutgeheissen, dass der Einspracheentscheid vom 26. Mai 2008 aufgehoben und die Angelegenheit zu weiteren Abklärungen und zu neuer Verfügung im Sinn der Erwägungen an die Beschwerdegegnerin zurückgewiesen wird. 2.        Es werden keine Gerichtskosten erhoben. 3.        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